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33" w:rsidRDefault="00F85A2A">
      <w:pPr>
        <w:rPr>
          <w:sz w:val="32"/>
          <w:szCs w:val="32"/>
        </w:rPr>
      </w:pPr>
      <w:r>
        <w:rPr>
          <w:sz w:val="32"/>
          <w:szCs w:val="32"/>
        </w:rPr>
        <w:t>CUPE 338 Long Term Disability Plan – Renewal as of May 1, 2017</w:t>
      </w:r>
    </w:p>
    <w:p w:rsidR="00F85A2A" w:rsidRPr="00761ADA" w:rsidRDefault="00F85A2A">
      <w:pPr>
        <w:rPr>
          <w:sz w:val="24"/>
          <w:szCs w:val="24"/>
        </w:rPr>
      </w:pPr>
      <w:r w:rsidRPr="00761ADA">
        <w:rPr>
          <w:sz w:val="24"/>
          <w:szCs w:val="24"/>
        </w:rPr>
        <w:t>Your Union sponsored Long Term Disability (LTD) plan has been renewed as of May 1</w:t>
      </w:r>
      <w:r w:rsidRPr="00761ADA">
        <w:rPr>
          <w:sz w:val="24"/>
          <w:szCs w:val="24"/>
          <w:vertAlign w:val="superscript"/>
        </w:rPr>
        <w:t>st</w:t>
      </w:r>
      <w:r w:rsidRPr="00761ADA">
        <w:rPr>
          <w:sz w:val="24"/>
          <w:szCs w:val="24"/>
        </w:rPr>
        <w:t xml:space="preserve">, 2017.  This coverage has been in effect since November 1, 2013, with one previous rate increase in May of 2015.  </w:t>
      </w:r>
    </w:p>
    <w:p w:rsidR="00F85A2A" w:rsidRPr="00761ADA" w:rsidRDefault="00F85A2A">
      <w:pPr>
        <w:rPr>
          <w:sz w:val="24"/>
          <w:szCs w:val="24"/>
        </w:rPr>
      </w:pPr>
      <w:r w:rsidRPr="00761ADA">
        <w:rPr>
          <w:sz w:val="24"/>
          <w:szCs w:val="24"/>
        </w:rPr>
        <w:t>Since inception</w:t>
      </w:r>
      <w:r w:rsidR="00761ADA" w:rsidRPr="00761ADA">
        <w:rPr>
          <w:sz w:val="24"/>
          <w:szCs w:val="24"/>
        </w:rPr>
        <w:t xml:space="preserve"> of this valuable insurance coverage, 27 CUPE 338 members have been able to utilize</w:t>
      </w:r>
      <w:r w:rsidR="00872852">
        <w:rPr>
          <w:sz w:val="24"/>
          <w:szCs w:val="24"/>
        </w:rPr>
        <w:t xml:space="preserve"> these valuable benefits during </w:t>
      </w:r>
      <w:r w:rsidR="00761ADA" w:rsidRPr="00761ADA">
        <w:rPr>
          <w:sz w:val="24"/>
          <w:szCs w:val="24"/>
        </w:rPr>
        <w:t xml:space="preserve">an extended period of disability.  </w:t>
      </w:r>
    </w:p>
    <w:p w:rsidR="00761ADA" w:rsidRDefault="00761ADA">
      <w:pPr>
        <w:rPr>
          <w:sz w:val="24"/>
          <w:szCs w:val="24"/>
        </w:rPr>
      </w:pPr>
      <w:r w:rsidRPr="00761ADA">
        <w:rPr>
          <w:sz w:val="24"/>
          <w:szCs w:val="24"/>
        </w:rPr>
        <w:t>The policy renews annually, however no increase was charged last year, despite a relatively high volume of claims.  As a result, this year Manulife have requested a substantial increase.  Our LTD administrator, WE Benefits &amp; Consulting Services Ltd, has informed us that an increase is justified in view of the claim volume, however they feel the increase asked for by Manul</w:t>
      </w:r>
      <w:r w:rsidR="005C00A4">
        <w:rPr>
          <w:sz w:val="24"/>
          <w:szCs w:val="24"/>
        </w:rPr>
        <w:t>ife is higher than warranted</w:t>
      </w:r>
      <w:r>
        <w:rPr>
          <w:sz w:val="24"/>
          <w:szCs w:val="24"/>
        </w:rPr>
        <w:t xml:space="preserve">.  Your Union executive has requested that WE </w:t>
      </w:r>
      <w:proofErr w:type="gramStart"/>
      <w:r>
        <w:rPr>
          <w:sz w:val="24"/>
          <w:szCs w:val="24"/>
        </w:rPr>
        <w:t>Consulting</w:t>
      </w:r>
      <w:proofErr w:type="gramEnd"/>
      <w:r>
        <w:rPr>
          <w:sz w:val="24"/>
          <w:szCs w:val="24"/>
        </w:rPr>
        <w:t xml:space="preserve"> search the market for a new carrier and better rates, however in the interim the policy must be kept in force, meaning that you will see a premium increase on your pay statements in June.  </w:t>
      </w:r>
      <w:r w:rsidR="009C22C2">
        <w:rPr>
          <w:sz w:val="24"/>
          <w:szCs w:val="24"/>
        </w:rPr>
        <w:t>Please bear in mind that the premium increase is retroactive to May 1, 2017, so the June d</w:t>
      </w:r>
      <w:r w:rsidR="00872852">
        <w:rPr>
          <w:sz w:val="24"/>
          <w:szCs w:val="24"/>
        </w:rPr>
        <w:t xml:space="preserve">ebits to your pay will be </w:t>
      </w:r>
      <w:r w:rsidR="009C22C2">
        <w:rPr>
          <w:sz w:val="24"/>
          <w:szCs w:val="24"/>
        </w:rPr>
        <w:t>higher than usual.  The average rate increase is 19%, a table is shown below for the effects on some typical salaries.</w:t>
      </w:r>
      <w:r w:rsidR="009B3D84">
        <w:rPr>
          <w:sz w:val="24"/>
          <w:szCs w:val="24"/>
        </w:rPr>
        <w:t xml:space="preserve">  To reduce the impact for</w:t>
      </w:r>
      <w:r w:rsidR="00872852">
        <w:rPr>
          <w:sz w:val="24"/>
          <w:szCs w:val="24"/>
        </w:rPr>
        <w:t xml:space="preserve"> individual members as much as possible, WE Consulting has eliminated their administration charges until a final carrier and or price agreement is reached.</w:t>
      </w:r>
      <w:bookmarkStart w:id="0" w:name="_GoBack"/>
      <w:bookmarkEnd w:id="0"/>
    </w:p>
    <w:p w:rsidR="009C22C2" w:rsidRDefault="009C22C2">
      <w:pPr>
        <w:rPr>
          <w:sz w:val="24"/>
          <w:szCs w:val="24"/>
        </w:rPr>
      </w:pPr>
    </w:p>
    <w:tbl>
      <w:tblPr>
        <w:tblW w:w="10236" w:type="dxa"/>
        <w:tblInd w:w="-284" w:type="dxa"/>
        <w:tblLook w:val="04A0" w:firstRow="1" w:lastRow="0" w:firstColumn="1" w:lastColumn="0" w:noHBand="0" w:noVBand="1"/>
      </w:tblPr>
      <w:tblGrid>
        <w:gridCol w:w="9869"/>
        <w:gridCol w:w="1756"/>
        <w:gridCol w:w="1720"/>
        <w:gridCol w:w="720"/>
        <w:gridCol w:w="1480"/>
        <w:gridCol w:w="1480"/>
        <w:gridCol w:w="1480"/>
      </w:tblGrid>
      <w:tr w:rsidR="00872852" w:rsidRPr="009C22C2" w:rsidTr="00872852">
        <w:trPr>
          <w:trHeight w:val="26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3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0"/>
              <w:gridCol w:w="1540"/>
              <w:gridCol w:w="1720"/>
              <w:gridCol w:w="321"/>
              <w:gridCol w:w="1470"/>
              <w:gridCol w:w="1440"/>
              <w:gridCol w:w="1296"/>
            </w:tblGrid>
            <w:tr w:rsidR="00872852" w:rsidRPr="00872852" w:rsidTr="00872852">
              <w:trPr>
                <w:trHeight w:val="495"/>
              </w:trPr>
              <w:tc>
                <w:tcPr>
                  <w:tcW w:w="964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333F4F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0"/>
                      <w:szCs w:val="40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0"/>
                      <w:szCs w:val="40"/>
                      <w:lang w:eastAsia="en-CA"/>
                    </w:rPr>
                    <w:t>CUPE Local 338 - Kelowna</w:t>
                  </w:r>
                </w:p>
              </w:tc>
            </w:tr>
            <w:tr w:rsidR="00872852" w:rsidRPr="00872852" w:rsidTr="00872852">
              <w:trPr>
                <w:trHeight w:val="495"/>
              </w:trPr>
              <w:tc>
                <w:tcPr>
                  <w:tcW w:w="9643" w:type="dxa"/>
                  <w:gridSpan w:val="8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>60% LTD Benefit - to age 65 - Maximum Benefit $3,500</w:t>
                  </w:r>
                </w:p>
              </w:tc>
            </w:tr>
            <w:tr w:rsidR="00872852" w:rsidRPr="00872852" w:rsidTr="00872852">
              <w:trPr>
                <w:trHeight w:val="570"/>
              </w:trPr>
              <w:tc>
                <w:tcPr>
                  <w:tcW w:w="9643" w:type="dxa"/>
                  <w:gridSpan w:val="8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CA"/>
                    </w:rPr>
                    <w:t xml:space="preserve">MEMBER COST PER MONTH </w:t>
                  </w:r>
                </w:p>
              </w:tc>
            </w:tr>
            <w:tr w:rsidR="00872852" w:rsidRPr="00872852" w:rsidTr="00872852">
              <w:trPr>
                <w:trHeight w:val="690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4C6E7"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ind w:firstLineChars="200" w:firstLine="361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7285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Annual Wage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7285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Average Monthly Wage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ind w:firstLineChars="200" w:firstLine="361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7285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Benefit Level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ind w:firstLineChars="200" w:firstLine="361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7285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2016 Monthly Premium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7285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New Monthly Premium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7285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Per Member Monthly Increase</w:t>
                  </w:r>
                </w:p>
              </w:tc>
            </w:tr>
            <w:tr w:rsidR="00872852" w:rsidRPr="00872852" w:rsidTr="00872852">
              <w:trPr>
                <w:trHeight w:val="315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</w:tr>
            <w:tr w:rsidR="00872852" w:rsidRPr="00872852" w:rsidTr="00872852">
              <w:trPr>
                <w:trHeight w:val="345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 xml:space="preserve"> $42,459.85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 xml:space="preserve"> $3,538.32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 xml:space="preserve"> $2,122.99 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$80.46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$92.69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$12.23 </w:t>
                  </w:r>
                </w:p>
              </w:tc>
            </w:tr>
            <w:tr w:rsidR="00872852" w:rsidRPr="00872852" w:rsidTr="00872852">
              <w:trPr>
                <w:trHeight w:val="345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 xml:space="preserve"> $58,585.46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 xml:space="preserve"> $4,882.12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 xml:space="preserve"> $2,929.27 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$111.02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$127.89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$16.87 </w:t>
                  </w:r>
                </w:p>
              </w:tc>
            </w:tr>
            <w:tr w:rsidR="00872852" w:rsidRPr="00872852" w:rsidTr="00872852">
              <w:trPr>
                <w:trHeight w:val="345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 xml:space="preserve"> $67,700.96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 xml:space="preserve"> $5,641.75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 xml:space="preserve"> $3,385.05 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$128.29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$147.79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$19.50 </w:t>
                  </w:r>
                </w:p>
              </w:tc>
            </w:tr>
            <w:tr w:rsidR="00872852" w:rsidRPr="00872852" w:rsidTr="00872852">
              <w:trPr>
                <w:trHeight w:val="345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 xml:space="preserve"> $85,258.85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 xml:space="preserve"> $7,104.90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 xml:space="preserve"> $3,500.00 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$132.65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$152.81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  <w:r w:rsidRPr="0087285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  <w:t xml:space="preserve"> $20.16 </w:t>
                  </w:r>
                </w:p>
              </w:tc>
            </w:tr>
            <w:tr w:rsidR="00872852" w:rsidRPr="00872852" w:rsidTr="00872852">
              <w:trPr>
                <w:trHeight w:val="210"/>
              </w:trPr>
              <w:tc>
                <w:tcPr>
                  <w:tcW w:w="185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CA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ind w:firstLineChars="200" w:firstLine="36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CA"/>
                    </w:rPr>
                  </w:pPr>
                  <w:r w:rsidRPr="0087285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CA"/>
                    </w:rPr>
                    <w:t>with Admin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ind w:firstLineChars="200" w:firstLine="36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CA"/>
                    </w:rPr>
                  </w:pPr>
                  <w:r w:rsidRPr="0087285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CA"/>
                    </w:rPr>
                    <w:t>no Admin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ind w:firstLineChars="200" w:firstLine="36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</w:tr>
            <w:tr w:rsidR="00872852" w:rsidRPr="00872852" w:rsidTr="00872852">
              <w:trPr>
                <w:trHeight w:val="270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87285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E&amp;OE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4C6E7"/>
                  <w:noWrap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4C6E7"/>
                  <w:noWrap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4C6E7"/>
                  <w:noWrap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4C6E7"/>
                  <w:noWrap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:rsidR="00872852" w:rsidRPr="00872852" w:rsidRDefault="00872852" w:rsidP="0087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872852" w:rsidRPr="009C22C2">
              <w:trPr>
                <w:trHeight w:val="264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852" w:rsidRPr="009C22C2" w:rsidRDefault="00872852" w:rsidP="009C22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</w:tr>
          </w:tbl>
          <w:p w:rsidR="00872852" w:rsidRPr="009C22C2" w:rsidRDefault="00872852" w:rsidP="009C2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72852" w:rsidRPr="009C22C2" w:rsidTr="00872852">
        <w:trPr>
          <w:trHeight w:val="26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72852" w:rsidRPr="009C22C2" w:rsidTr="00872852">
        <w:trPr>
          <w:trHeight w:val="26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72852" w:rsidRPr="009C22C2" w:rsidTr="00872852">
        <w:trPr>
          <w:trHeight w:val="26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72852" w:rsidRPr="009C22C2" w:rsidTr="00872852">
        <w:trPr>
          <w:trHeight w:val="27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52" w:rsidRPr="009C22C2" w:rsidRDefault="00872852" w:rsidP="009C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9C22C2" w:rsidRPr="00761ADA" w:rsidRDefault="009C22C2">
      <w:pPr>
        <w:rPr>
          <w:sz w:val="24"/>
          <w:szCs w:val="24"/>
        </w:rPr>
      </w:pPr>
    </w:p>
    <w:sectPr w:rsidR="009C22C2" w:rsidRPr="00761A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2A"/>
    <w:rsid w:val="005C00A4"/>
    <w:rsid w:val="00761ADA"/>
    <w:rsid w:val="0076304D"/>
    <w:rsid w:val="007A4E1D"/>
    <w:rsid w:val="00872852"/>
    <w:rsid w:val="008F52CE"/>
    <w:rsid w:val="009B3D84"/>
    <w:rsid w:val="009C22C2"/>
    <w:rsid w:val="00A832DE"/>
    <w:rsid w:val="00EE5886"/>
    <w:rsid w:val="00F53985"/>
    <w:rsid w:val="00F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852F"/>
  <w15:chartTrackingRefBased/>
  <w15:docId w15:val="{6CAE59ED-6D0D-4E69-8D67-F73F587E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Kobayashi-original</dc:creator>
  <cp:keywords/>
  <dc:description/>
  <cp:lastModifiedBy>Linda Kobayashi-original</cp:lastModifiedBy>
  <cp:revision>3</cp:revision>
  <cp:lastPrinted>2017-05-16T19:44:00Z</cp:lastPrinted>
  <dcterms:created xsi:type="dcterms:W3CDTF">2017-05-16T19:03:00Z</dcterms:created>
  <dcterms:modified xsi:type="dcterms:W3CDTF">2017-05-17T17:25:00Z</dcterms:modified>
</cp:coreProperties>
</file>